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Ottawa,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Ojibwe,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Potawatomi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rectangular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communications@disabilityphilanthropy.org.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@disphilanthropy.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Ghebreyesus.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Lainoff,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White-Johnson,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Al-Mohamed,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White-Johnson,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Piscataway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caramel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leopard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Lainoff.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Anacostans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tachycardia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Al-Mohamed.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Nacotchtank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Anacostan,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FWD-Doc,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elegantly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op-ed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Garland-Thomson.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Nijkamp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Lloyd-Jones,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Bardugo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hamstringing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encapsulate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Buffalo.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Morénike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Onaiwu,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ROXS.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zeitgeist.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overburdened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inflexible,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Ives-Rublee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White-Johnson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ITVS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thing/.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plethora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Aquaman.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 Al-Mohamed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Lillie Lainoff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 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Bye-bye.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Disability &amp; Philanthropy Webinar Series Disabil...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xq07co9rRlu3GRmYPWiiyArolz_KXHEqdmz9ksRUqNX1ivAV-GZsN32vkJAyTODkbysmlYq4f6kZYz2Yn7q8yzN7l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