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Odawa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Ojibwe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Potawatomi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rectangular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Q&amp;A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#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COVID-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Lenape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'80s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achondroplasia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dwarfism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freckles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Oh, Lydia, how about you? Thanks, Rebecca.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XZ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Piscataway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-Conoy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Nacotchtank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Ryan Easterly.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ableism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 ableist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wardrobe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XZ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Becca hinted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enslavement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enslaved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descendants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disgusting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much, Sam.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the issue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exacerbating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unburdened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eloquently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XZ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technosolutionism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prenatal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Segarra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axis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XZ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heterosexuality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ableism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we're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scrupulous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$100,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,000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ableism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nonexistent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ableism.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exacerbating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ask, I want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all emoji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Mercedes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hippie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disheartening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1/3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nightmares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nonetheless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nonetheless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answer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conversations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pyrrhic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jeopardize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nonetheless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they're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assaulted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put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ask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This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beginning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XZ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McHale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XZ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could do 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board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thing 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confronting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we're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cartwheels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ableism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know because this is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lifeguards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noodles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Gill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Thanks.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Disability &amp; Philanthropy Webinar Series How Abl...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07,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X_4bUCXuLwC5CLmm-N4LkIzdeLsjvdusENq6cZvmUoiYtUA9_OeyPgx65gzUjvw4k4D8YMKKR7b-yn4_Lej5zJvA1_o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