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Odawa,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Ojibwe,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Potawatomi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rectangular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communications@disabilityphilanthropy.org.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#disabilityphilanthropy.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@disphilanthropy.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Gabrielino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Kaufman-Mthimkhulu,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Mitchell,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Jän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S2i,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Unapologetically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Unicorns,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three-phase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self-introductions.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Kaufman-Mthimkhulu.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non-binary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neurodivergent,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Jän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Chumash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Muscogee...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Muscogee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undercut.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Mitchell.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ponytail.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burgundy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"Chainless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Omicron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variant,"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PTSD,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derogatory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schizophrenia...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00:18:01].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thyroid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parathyroid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00:19:35]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comorbidities.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interdependence.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00:25:06]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destigmatize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overmedicalization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coercion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incompatible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coercion,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coercion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Band-Aid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coercion,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00:30:40]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system-impacted,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accustomed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person-driven,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00:38:30]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inmates,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Band-Aids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somatics,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 Lyn Kaufman-Mthimkhulu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00:52:14]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coercion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 Jän Myrick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Robert 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Disability &amp; Philanthropy Webinar Series Mental ... (Completed  02/19/22)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07,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rhK-aaoqt1UHVK77uMockxyWPZHGHN0SZGQFVwlHxgq90gQJJpbZWRr6jo23OS13nJqOcrLL7II1O-Cm3aHpDS9LY8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