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Annamma,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Subini Annamma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Crenshaw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cis-hetero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xenophobia.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-w4U3Nuq9hOlvFZ4jgvR_3EiIIS-x0K0DCkBPXRv5Wir4GVC-cSoVPDvXObJzoFKlSXr1L8GEUclHUSAmi7MzYxoi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