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she/her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Odawa,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Ojibwe,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Potawatomi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rectangular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rectangles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communications@disabilityphilanthropy.org.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1:30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1:30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non-apparent,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Demystifying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question-and-answer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she/her.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headphones.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Massapequas.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Thompson.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Massachusetts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she/her.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deaf-blindness.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she/her/hers.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Ramaytush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Rancheria.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shaggy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she/her.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headphones.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Ojibwe,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Odawa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Potawatomi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semi-connected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misgivings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Samarasan,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restructured.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on-the-ground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educated-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1 OF 4 ENDS [00:23:04]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forward?"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else."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Caribbean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Massachusetts,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Massachusetts.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501C3s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complacency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Thanks Emily.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hobbyist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vehemently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organization?"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2 OF 4 ENDS [00:46:04]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Q&amp;A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counterintuitive,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enriches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bilateral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bilateral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dominoes",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immunocompromised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asynchronous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inconvenience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Captioner 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Captioner 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Captioner 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iterative.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3 OF 4 ENDS [01:09:04]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inhibited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cantankerous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participatorygrantmaking.org.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501(c)(3)s.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non-professional,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"non-traditional,"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'articulate,'"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non-501(c)(3)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nimbleness,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be-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what-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self-advocates,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Keidra,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Keedra Cheney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 Thompson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4 OF 4 ENDS [01:29:13]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Journey to Inclusion Series - Participatory Disa...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OyR3Eh0jau8YMNUMlLWcoePauBD9_7Ba0TJAsQP-KP038yC_id-AI45gpnGe2MY93FIBIwlKigPHzmzOz9RjpmITwW0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