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Odawa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Ojibwe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Potawatomi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Noorain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Massachusetts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Anacostians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whirlwind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Noorain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Anjalie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fodder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extinguisher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heteronormative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,'"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extinguisher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precedent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'60s,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'70s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RFP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Stephenie 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Matheson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Matheson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Lakshmi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Piepzna-Samarasinha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Milbern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RFP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Escobar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Alvarez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Sindy Escobar-Alvarez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Sindy Escobar-Alvarez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00:32:36]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00:32:51]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 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dispensers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dispensers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00:37:59]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pessimist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rearrange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etiquette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jeopardize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Pellesier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Schwager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Staunton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neurodivergent,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farewell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Ladeau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listserv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2022 Disability Inclusion Pledge Learning Series... (Completed  08/08/22)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6eSQpnN9zqRSQq9qEWebeV8OlXbYlIFslnT4Y9uw-b6Bjmmdqzo1CUZZ3sTSCfo9fPDo2uRmua9TAzHw51mA8YxCd2Q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