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Ottawa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Ojibwe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Potawatomi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Q&amp;A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hashtag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#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Weingart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Weingart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Weingart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Gabrielino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SoulTouchin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abbreviated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Vallas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unicorn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unicorn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leopard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lobbyist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 Ives-Rublee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Anacostan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Piscataway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Pamunkey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Vallas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handicap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'60s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'70s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00:10:56]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 Ives-Rublee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Vallas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unhoused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exacerbated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exacerbated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resuscitate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proprietor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 Ives-Rublee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alleviate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Vallas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+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underhoused,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00:33:59]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,000."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 Ives-Rublee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Vallas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prejudices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altruistic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Vallas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00:44:19]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 Ives-Rublee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00:48:08]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00:48:40]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disqualifies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 Ives-Rublee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Vallas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unfixable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eloquently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disentitlement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haystack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Miguel Santana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unrestricted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Disability _ Philanthropy Webinar Series_ Disabi... (Completed  10/01/22)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03,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z9R5DnASEhqse20EYzxIIzIedHraYx6qvEyGnL1nnODFRO4Fqfxcgl632pM4EBSJMCrH1gXskJ9tpFpwSFzCZO3UeHQ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