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sufficiency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adequate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unhoused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disproportionately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permanent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grappling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exacerbated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Rebecca Vallas Urges Philanthropy to Address the... (Completed  11/23/22)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23,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RViHIdkQHBmPGU9m1JuO6MUmHUqAnLb5UCJHpWoG-78uoTUMfF-6_IWaCJQoEV8_ILgbHteYaUvaVMTUnv3LeD_hgio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