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Richard Besser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capacity-building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self-determination,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Richard Besser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movement-aligned,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nitty-gritty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1/10th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unsurprising.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Borealis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intermediary,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disability-led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Richard Besser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non-binary,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Richard Besser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disability-specific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Heumann,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DPF_Sandy_Ho_Rich_Besser (Completed  03/21/23)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IFGJ3PX1Zvq8PsPM9imqgkWuQntpH2b6FnTJNYoo10MU-W1Ho0fI0Z78ToonvyzxThInABrNAoNuQ1lC-02GiVl2Zc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