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Ladau,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O-D-E-P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Fehribach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ODEP's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arthritis.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figuratively.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one-size-fits-all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wide-ranging,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door-opening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outward-facing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demystify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prohibits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subcontractors,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503.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prohibits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publicly-funded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Heumann.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intrinsically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Jubilee,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Alabama,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'70s,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Heumann,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long-awaited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Heumann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interwoven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grant-making,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necessitates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self-identification,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Ladau,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Taryn 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DIR 3.Taryn (Completed  05/22/23)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_COX15Kz-eGxNG3ZPGbBfMx_flM9XEu-ew2livbXt7wQ1mlM107XSco7g1VYfzkVhqnulsPQKDUKyeq8iCR41uTnSws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