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Jahari.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Demetrius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eclectic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vivacious,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Lakshmi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Piepzna-Samarasinha,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heralded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single-issue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jubilant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well-staffed,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DIR_Episode4_edited (Completed  06/13/23)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02iGooshE4zF4q8bEeqYFtQJe4q5pl6-puohJ-5oc6popAPFG1cZNC3qrHYMjOUVvrDMvb_QuaQdyUexO3iwzxBIg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