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Ladau: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black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neurodivergent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black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Lewis's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disclaimer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unhinged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really, really eyeopening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-ableism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inextricable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drapetomania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cure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they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we're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Kellogg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90s,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Octavia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dyslexia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Lorde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Anzaldúa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Gloria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Anzaldúa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Audre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Audre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Octavia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;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she's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Audre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are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activists.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Sami Schalk: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samischalk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DrSamiSchalk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FierceBlackFemme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 Williams: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: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DIR11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07,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